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1D8" w:rsidRDefault="000A194C" w14:paraId="20E54D14" w14:textId="77777777">
      <w:pPr>
        <w:spacing w:after="60"/>
      </w:pPr>
      <w:r>
        <w:rPr>
          <w:rFonts w:ascii="Aptos" w:hAnsi="Aptos" w:eastAsia="Aptos" w:cs="Aptos"/>
          <w:b/>
          <w:bCs/>
          <w:color w:val="052D46"/>
          <w:sz w:val="40"/>
          <w:szCs w:val="40"/>
        </w:rPr>
        <w:t>i2i Regional Summit 2026</w:t>
      </w:r>
    </w:p>
    <w:p w:rsidR="003101D8" w:rsidRDefault="000A194C" w14:paraId="17CAAAFF" w14:textId="77777777">
      <w:pPr>
        <w:spacing w:after="60"/>
      </w:pPr>
      <w:r>
        <w:rPr>
          <w:rFonts w:ascii="Aptos" w:hAnsi="Aptos" w:eastAsia="Aptos" w:cs="Aptos"/>
          <w:b/>
          <w:bCs/>
          <w:color w:val="4E9177"/>
          <w:sz w:val="26"/>
          <w:szCs w:val="26"/>
        </w:rPr>
        <w:t>Digital Enablement — Business Case Template</w:t>
      </w:r>
    </w:p>
    <w:p w:rsidR="003101D8" w:rsidRDefault="000A194C" w14:paraId="550EAAFD" w14:textId="77777777">
      <w:pPr>
        <w:spacing w:after="200"/>
      </w:pPr>
      <w:r>
        <w:rPr>
          <w:rFonts w:ascii="Aptos" w:hAnsi="Aptos" w:eastAsia="Aptos" w:cs="Aptos"/>
          <w:i/>
          <w:iCs/>
          <w:color w:val="6E6E6E"/>
          <w:sz w:val="19"/>
          <w:szCs w:val="19"/>
        </w:rPr>
        <w:t>Three Regional Summits are running in 2026 — London, Leeds and Bristol. This template covers all three. Complete Step 1 by keeping only the city box that applies to you and deleting the other two, then complete the rest of the form as normal.</w:t>
      </w:r>
    </w:p>
    <w:p w:rsidR="003101D8" w:rsidRDefault="003101D8" w14:paraId="2EC28826" w14:textId="77777777">
      <w:pPr>
        <w:pBdr>
          <w:bottom w:val="single" w:color="4E9177" w:sz="6" w:space="1"/>
        </w:pBdr>
        <w:spacing w:before="100" w:after="200"/>
      </w:pPr>
    </w:p>
    <w:p w:rsidR="003101D8" w:rsidRDefault="000A194C" w14:paraId="77EDE448" w14:textId="77777777">
      <w:pPr>
        <w:pStyle w:val="Heading1"/>
        <w:spacing w:before="300" w:after="150"/>
      </w:pPr>
      <w:r>
        <w:rPr>
          <w:rFonts w:ascii="Aptos" w:hAnsi="Aptos" w:eastAsia="Aptos" w:cs="Aptos"/>
          <w:b/>
          <w:bCs/>
          <w:color w:val="052D46"/>
          <w:sz w:val="28"/>
          <w:szCs w:val="28"/>
        </w:rPr>
        <w:t>What is a clinical summit, and why do I want to attend?</w:t>
      </w:r>
    </w:p>
    <w:p w:rsidR="003101D8" w:rsidRDefault="000A194C" w14:paraId="7C5B8D1F" w14:textId="77777777">
      <w:pPr>
        <w:spacing w:after="120"/>
      </w:pPr>
      <w:r>
        <w:rPr>
          <w:rFonts w:ascii="Aptos" w:hAnsi="Aptos" w:eastAsia="Aptos" w:cs="Aptos"/>
          <w:color w:val="052D46"/>
          <w:sz w:val="21"/>
          <w:szCs w:val="21"/>
        </w:rPr>
        <w:t>The i2i Regional Summit is a free, one-day programme designed for GP clinical pharmacists. It provides expert guidance, advanced training, and interactive workshops to enhance clinical expertise and improve patient care, while supporting QOF and local targets. This year's theme is Digital Enablement — exploring how technology and AI are transforming everyday clinical practice across a range of therapy areas. It is an energising, implementation-focused day that leaves clinical pharmacists equipped with practical best practice they can apply straight away.</w:t>
      </w:r>
    </w:p>
    <w:p w:rsidR="003101D8" w:rsidRDefault="000A194C" w14:paraId="5F41DEE9" w14:textId="77777777">
      <w:pPr>
        <w:pStyle w:val="Heading1"/>
        <w:spacing w:before="300" w:after="150"/>
      </w:pPr>
      <w:r>
        <w:rPr>
          <w:rFonts w:ascii="Aptos" w:hAnsi="Aptos" w:eastAsia="Aptos" w:cs="Aptos"/>
          <w:b/>
          <w:bCs/>
          <w:color w:val="052D46"/>
          <w:sz w:val="28"/>
          <w:szCs w:val="28"/>
        </w:rPr>
        <w:t>Step 1: Select your summit</w:t>
      </w:r>
    </w:p>
    <w:p w:rsidR="003101D8" w:rsidRDefault="000A194C" w14:paraId="7D118C33" w14:textId="77777777">
      <w:pPr>
        <w:spacing w:after="100"/>
      </w:pPr>
      <w:r>
        <w:rPr>
          <w:rFonts w:ascii="Aptos" w:hAnsi="Aptos" w:eastAsia="Aptos" w:cs="Aptos"/>
          <w:i/>
          <w:iCs/>
          <w:color w:val="B00020"/>
          <w:sz w:val="19"/>
          <w:szCs w:val="19"/>
        </w:rPr>
        <w:t>Keep only the box for the summit you are applying to attend. Delete the other two boxes before submitting.</w:t>
      </w:r>
    </w:p>
    <w:p w:rsidR="003101D8" w:rsidRDefault="003101D8" w14:paraId="253C6E86" w14:textId="77777777">
      <w:pPr>
        <w:spacing w:after="80"/>
      </w:pPr>
    </w:p>
    <w:tbl>
      <w:tblPr>
        <w:tblW w:w="5000" w:type="pct"/>
        <w:tblBorders>
          <w:top w:val="single" w:color="4E9177" w:sz="8" w:space="0"/>
          <w:left w:val="single" w:color="4E9177" w:sz="8" w:space="0"/>
          <w:bottom w:val="single" w:color="4E9177" w:sz="8" w:space="0"/>
          <w:right w:val="single" w:color="4E9177" w:sz="8"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9006"/>
      </w:tblGrid>
      <w:tr w:rsidR="003101D8" w14:paraId="07C824FA" w14:textId="77777777">
        <w:tc>
          <w:tcPr>
            <w:tcW w:w="5000" w:type="pct"/>
            <w:shd w:val="clear" w:color="auto" w:fill="EAF5EF"/>
            <w:tcMar>
              <w:top w:w="150" w:type="dxa"/>
              <w:left w:w="200" w:type="dxa"/>
              <w:bottom w:w="150" w:type="dxa"/>
              <w:right w:w="200" w:type="dxa"/>
            </w:tcMar>
          </w:tcPr>
          <w:p w:rsidR="003101D8" w:rsidRDefault="000A194C" w14:paraId="1A68D709" w14:textId="77777777">
            <w:pPr>
              <w:spacing w:after="60"/>
            </w:pPr>
            <w:r>
              <w:rPr>
                <w:rFonts w:ascii="Aptos" w:hAnsi="Aptos" w:eastAsia="Aptos" w:cs="Aptos"/>
                <w:b/>
                <w:bCs/>
                <w:color w:val="052D46"/>
                <w:sz w:val="24"/>
                <w:szCs w:val="24"/>
              </w:rPr>
              <w:t>Option 1 — London</w:t>
            </w:r>
          </w:p>
          <w:p w:rsidR="003101D8" w:rsidRDefault="000A194C" w14:paraId="430E2B44" w14:textId="77777777">
            <w:pPr>
              <w:spacing w:after="40"/>
            </w:pPr>
            <w:r>
              <w:rPr>
                <w:rFonts w:ascii="Aptos" w:hAnsi="Aptos" w:eastAsia="Aptos" w:cs="Aptos"/>
                <w:b/>
                <w:bCs/>
                <w:color w:val="052D46"/>
                <w:sz w:val="21"/>
                <w:szCs w:val="21"/>
              </w:rPr>
              <w:t xml:space="preserve">Date: </w:t>
            </w:r>
            <w:r>
              <w:rPr>
                <w:rFonts w:ascii="Aptos" w:hAnsi="Aptos" w:eastAsia="Aptos" w:cs="Aptos"/>
                <w:color w:val="052D46"/>
                <w:sz w:val="21"/>
                <w:szCs w:val="21"/>
              </w:rPr>
              <w:t>Wednesday 16th September 2026</w:t>
            </w:r>
          </w:p>
          <w:p w:rsidR="003101D8" w:rsidRDefault="000A194C" w14:paraId="119EB5FC" w14:textId="77777777">
            <w:pPr>
              <w:spacing w:after="40"/>
            </w:pPr>
            <w:r>
              <w:rPr>
                <w:rFonts w:ascii="Aptos" w:hAnsi="Aptos" w:eastAsia="Aptos" w:cs="Aptos"/>
                <w:b/>
                <w:bCs/>
                <w:color w:val="052D46"/>
                <w:sz w:val="21"/>
                <w:szCs w:val="21"/>
              </w:rPr>
              <w:t xml:space="preserve">Venue: </w:t>
            </w:r>
            <w:r>
              <w:rPr>
                <w:rFonts w:ascii="Aptos" w:hAnsi="Aptos" w:eastAsia="Aptos" w:cs="Aptos"/>
                <w:color w:val="052D46"/>
                <w:sz w:val="21"/>
                <w:szCs w:val="21"/>
              </w:rPr>
              <w:t>Woburn House, Tavistock Square, London WC1H 9HQ</w:t>
            </w:r>
          </w:p>
          <w:p w:rsidR="003101D8" w:rsidRDefault="000A194C" w14:paraId="10B835B4" w14:textId="77777777">
            <w:r>
              <w:rPr>
                <w:rFonts w:ascii="Aptos" w:hAnsi="Aptos" w:eastAsia="Aptos" w:cs="Aptos"/>
                <w:b/>
                <w:bCs/>
                <w:color w:val="052D46"/>
                <w:sz w:val="21"/>
                <w:szCs w:val="21"/>
              </w:rPr>
              <w:t xml:space="preserve">Travel: </w:t>
            </w:r>
            <w:r>
              <w:rPr>
                <w:rFonts w:ascii="Aptos" w:hAnsi="Aptos" w:eastAsia="Aptos" w:cs="Aptos"/>
                <w:color w:val="052D46"/>
                <w:sz w:val="21"/>
                <w:szCs w:val="21"/>
              </w:rPr>
              <w:t>Enter your own travel time/cost estimate here.</w:t>
            </w:r>
          </w:p>
          <w:p w:rsidR="003101D8" w:rsidRDefault="000A194C" w14:paraId="05F0F3DD" w14:textId="77777777">
            <w:pPr>
              <w:spacing w:before="100"/>
            </w:pPr>
            <w:r>
              <w:rPr>
                <w:rFonts w:ascii="Aptos" w:hAnsi="Aptos" w:eastAsia="Aptos" w:cs="Aptos"/>
                <w:i/>
                <w:iCs/>
                <w:color w:val="B00020"/>
                <w:sz w:val="18"/>
                <w:szCs w:val="18"/>
              </w:rPr>
              <w:t>Keep this box only if this is the summit you are applying to attend — otherwise delete this box.</w:t>
            </w:r>
          </w:p>
        </w:tc>
      </w:tr>
    </w:tbl>
    <w:p w:rsidR="003101D8" w:rsidRDefault="003101D8" w14:paraId="243F4D6F" w14:textId="77777777">
      <w:pPr>
        <w:spacing w:after="150"/>
      </w:pPr>
    </w:p>
    <w:tbl>
      <w:tblPr>
        <w:tblW w:w="5000" w:type="pct"/>
        <w:tblBorders>
          <w:top w:val="single" w:color="4E9177" w:sz="8" w:space="0"/>
          <w:left w:val="single" w:color="4E9177" w:sz="8" w:space="0"/>
          <w:bottom w:val="single" w:color="4E9177" w:sz="8" w:space="0"/>
          <w:right w:val="single" w:color="4E9177" w:sz="8"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9006"/>
      </w:tblGrid>
      <w:tr w:rsidR="003101D8" w14:paraId="01093099" w14:textId="77777777">
        <w:tc>
          <w:tcPr>
            <w:tcW w:w="5000" w:type="pct"/>
            <w:shd w:val="clear" w:color="auto" w:fill="EAF5EF"/>
            <w:tcMar>
              <w:top w:w="150" w:type="dxa"/>
              <w:left w:w="200" w:type="dxa"/>
              <w:bottom w:w="150" w:type="dxa"/>
              <w:right w:w="200" w:type="dxa"/>
            </w:tcMar>
          </w:tcPr>
          <w:p w:rsidR="003101D8" w:rsidRDefault="000A194C" w14:paraId="2B8A6129" w14:textId="77777777">
            <w:pPr>
              <w:spacing w:after="60"/>
            </w:pPr>
            <w:r>
              <w:rPr>
                <w:rFonts w:ascii="Aptos" w:hAnsi="Aptos" w:eastAsia="Aptos" w:cs="Aptos"/>
                <w:b/>
                <w:bCs/>
                <w:color w:val="052D46"/>
                <w:sz w:val="24"/>
                <w:szCs w:val="24"/>
              </w:rPr>
              <w:t>Option 2 — Leeds</w:t>
            </w:r>
          </w:p>
          <w:p w:rsidR="003101D8" w:rsidRDefault="000A194C" w14:paraId="76BE2075" w14:textId="77777777">
            <w:pPr>
              <w:spacing w:after="40"/>
            </w:pPr>
            <w:r>
              <w:rPr>
                <w:rFonts w:ascii="Aptos" w:hAnsi="Aptos" w:eastAsia="Aptos" w:cs="Aptos"/>
                <w:b/>
                <w:bCs/>
                <w:color w:val="052D46"/>
                <w:sz w:val="21"/>
                <w:szCs w:val="21"/>
              </w:rPr>
              <w:t xml:space="preserve">Date: </w:t>
            </w:r>
            <w:r>
              <w:rPr>
                <w:rFonts w:ascii="Aptos" w:hAnsi="Aptos" w:eastAsia="Aptos" w:cs="Aptos"/>
                <w:color w:val="052D46"/>
                <w:sz w:val="21"/>
                <w:szCs w:val="21"/>
              </w:rPr>
              <w:t>Tuesday 29th September 2026</w:t>
            </w:r>
          </w:p>
          <w:p w:rsidR="003101D8" w:rsidRDefault="000A194C" w14:paraId="76F01C0A" w14:textId="77777777">
            <w:pPr>
              <w:spacing w:after="40"/>
            </w:pPr>
            <w:r>
              <w:rPr>
                <w:rFonts w:ascii="Aptos" w:hAnsi="Aptos" w:eastAsia="Aptos" w:cs="Aptos"/>
                <w:b/>
                <w:bCs/>
                <w:color w:val="052D46"/>
                <w:sz w:val="21"/>
                <w:szCs w:val="21"/>
              </w:rPr>
              <w:t xml:space="preserve">Venue: </w:t>
            </w:r>
            <w:r>
              <w:rPr>
                <w:rFonts w:ascii="Aptos" w:hAnsi="Aptos" w:eastAsia="Aptos" w:cs="Aptos"/>
                <w:color w:val="052D46"/>
                <w:sz w:val="21"/>
                <w:szCs w:val="21"/>
              </w:rPr>
              <w:t>Venue to be confirmed</w:t>
            </w:r>
          </w:p>
          <w:p w:rsidR="003101D8" w:rsidRDefault="000A194C" w14:paraId="7470AF6E" w14:textId="77777777">
            <w:r>
              <w:rPr>
                <w:rFonts w:ascii="Aptos" w:hAnsi="Aptos" w:eastAsia="Aptos" w:cs="Aptos"/>
                <w:b/>
                <w:bCs/>
                <w:color w:val="052D46"/>
                <w:sz w:val="21"/>
                <w:szCs w:val="21"/>
              </w:rPr>
              <w:t xml:space="preserve">Travel: </w:t>
            </w:r>
            <w:r>
              <w:rPr>
                <w:rFonts w:ascii="Aptos" w:hAnsi="Aptos" w:eastAsia="Aptos" w:cs="Aptos"/>
                <w:color w:val="052D46"/>
                <w:sz w:val="21"/>
                <w:szCs w:val="21"/>
              </w:rPr>
              <w:t>Enter your own travel time/cost estimate here.</w:t>
            </w:r>
          </w:p>
          <w:p w:rsidR="003101D8" w:rsidRDefault="000A194C" w14:paraId="2206FC49" w14:textId="77777777">
            <w:pPr>
              <w:spacing w:before="100"/>
            </w:pPr>
            <w:r>
              <w:rPr>
                <w:rFonts w:ascii="Aptos" w:hAnsi="Aptos" w:eastAsia="Aptos" w:cs="Aptos"/>
                <w:i/>
                <w:iCs/>
                <w:color w:val="B00020"/>
                <w:sz w:val="18"/>
                <w:szCs w:val="18"/>
              </w:rPr>
              <w:t>Keep this box only if this is the summit you are applying to attend — otherwise delete this box.</w:t>
            </w:r>
          </w:p>
        </w:tc>
      </w:tr>
    </w:tbl>
    <w:p w:rsidR="003101D8" w:rsidRDefault="003101D8" w14:paraId="589A1A46" w14:textId="77777777">
      <w:pPr>
        <w:spacing w:after="150"/>
      </w:pPr>
    </w:p>
    <w:tbl>
      <w:tblPr>
        <w:tblW w:w="5000" w:type="pct"/>
        <w:tblBorders>
          <w:top w:val="single" w:color="4E9177" w:sz="8" w:space="0"/>
          <w:left w:val="single" w:color="4E9177" w:sz="8" w:space="0"/>
          <w:bottom w:val="single" w:color="4E9177" w:sz="8" w:space="0"/>
          <w:right w:val="single" w:color="4E9177" w:sz="8"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9006"/>
      </w:tblGrid>
      <w:tr w:rsidR="003101D8" w14:paraId="6A9EED2A" w14:textId="77777777">
        <w:tc>
          <w:tcPr>
            <w:tcW w:w="5000" w:type="pct"/>
            <w:shd w:val="clear" w:color="auto" w:fill="EAF5EF"/>
            <w:tcMar>
              <w:top w:w="150" w:type="dxa"/>
              <w:left w:w="200" w:type="dxa"/>
              <w:bottom w:w="150" w:type="dxa"/>
              <w:right w:w="200" w:type="dxa"/>
            </w:tcMar>
          </w:tcPr>
          <w:p w:rsidR="003101D8" w:rsidRDefault="000A194C" w14:paraId="2AEECE37" w14:textId="77777777">
            <w:pPr>
              <w:spacing w:after="60"/>
            </w:pPr>
            <w:r>
              <w:rPr>
                <w:rFonts w:ascii="Aptos" w:hAnsi="Aptos" w:eastAsia="Aptos" w:cs="Aptos"/>
                <w:b/>
                <w:bCs/>
                <w:color w:val="052D46"/>
                <w:sz w:val="24"/>
                <w:szCs w:val="24"/>
              </w:rPr>
              <w:t>Option 3 — Bristol</w:t>
            </w:r>
          </w:p>
          <w:p w:rsidR="003101D8" w:rsidRDefault="000A194C" w14:paraId="2669F0AB" w14:textId="77777777">
            <w:pPr>
              <w:spacing w:after="40"/>
            </w:pPr>
            <w:r>
              <w:rPr>
                <w:rFonts w:ascii="Aptos" w:hAnsi="Aptos" w:eastAsia="Aptos" w:cs="Aptos"/>
                <w:b/>
                <w:bCs/>
                <w:color w:val="052D46"/>
                <w:sz w:val="21"/>
                <w:szCs w:val="21"/>
              </w:rPr>
              <w:t xml:space="preserve">Date: </w:t>
            </w:r>
            <w:r>
              <w:rPr>
                <w:rFonts w:ascii="Aptos" w:hAnsi="Aptos" w:eastAsia="Aptos" w:cs="Aptos"/>
                <w:color w:val="052D46"/>
                <w:sz w:val="21"/>
                <w:szCs w:val="21"/>
              </w:rPr>
              <w:t>Tuesday 6th October 2026</w:t>
            </w:r>
          </w:p>
          <w:p w:rsidR="003101D8" w:rsidRDefault="000A194C" w14:paraId="49429E0C" w14:textId="77777777">
            <w:pPr>
              <w:spacing w:after="40"/>
            </w:pPr>
            <w:r>
              <w:rPr>
                <w:rFonts w:ascii="Aptos" w:hAnsi="Aptos" w:eastAsia="Aptos" w:cs="Aptos"/>
                <w:b/>
                <w:bCs/>
                <w:color w:val="052D46"/>
                <w:sz w:val="21"/>
                <w:szCs w:val="21"/>
              </w:rPr>
              <w:t xml:space="preserve">Venue: </w:t>
            </w:r>
            <w:r>
              <w:rPr>
                <w:rFonts w:ascii="Aptos" w:hAnsi="Aptos" w:eastAsia="Aptos" w:cs="Aptos"/>
                <w:color w:val="052D46"/>
                <w:sz w:val="21"/>
                <w:szCs w:val="21"/>
              </w:rPr>
              <w:t>Venue to be confirmed</w:t>
            </w:r>
          </w:p>
          <w:p w:rsidR="003101D8" w:rsidRDefault="000A194C" w14:paraId="1BB6089B" w14:textId="77777777">
            <w:r>
              <w:rPr>
                <w:rFonts w:ascii="Aptos" w:hAnsi="Aptos" w:eastAsia="Aptos" w:cs="Aptos"/>
                <w:b/>
                <w:bCs/>
                <w:color w:val="052D46"/>
                <w:sz w:val="21"/>
                <w:szCs w:val="21"/>
              </w:rPr>
              <w:t xml:space="preserve">Travel: </w:t>
            </w:r>
            <w:r>
              <w:rPr>
                <w:rFonts w:ascii="Aptos" w:hAnsi="Aptos" w:eastAsia="Aptos" w:cs="Aptos"/>
                <w:color w:val="052D46"/>
                <w:sz w:val="21"/>
                <w:szCs w:val="21"/>
              </w:rPr>
              <w:t>Enter your own travel time/cost estimate here.</w:t>
            </w:r>
          </w:p>
          <w:p w:rsidR="003101D8" w:rsidRDefault="000A194C" w14:paraId="3174D868" w14:textId="77777777">
            <w:pPr>
              <w:spacing w:before="100"/>
            </w:pPr>
            <w:r>
              <w:rPr>
                <w:rFonts w:ascii="Aptos" w:hAnsi="Aptos" w:eastAsia="Aptos" w:cs="Aptos"/>
                <w:i/>
                <w:iCs/>
                <w:color w:val="B00020"/>
                <w:sz w:val="18"/>
                <w:szCs w:val="18"/>
              </w:rPr>
              <w:t>Keep this box only if this is the summit you are applying to attend — otherwise delete this box.</w:t>
            </w:r>
          </w:p>
        </w:tc>
      </w:tr>
    </w:tbl>
    <w:p w:rsidR="003101D8" w:rsidRDefault="000A194C" w14:paraId="289467A0" w14:textId="77777777">
      <w:pPr>
        <w:pStyle w:val="Heading1"/>
        <w:spacing w:before="300" w:after="150"/>
      </w:pPr>
      <w:r>
        <w:rPr>
          <w:rFonts w:ascii="Aptos" w:hAnsi="Aptos" w:eastAsia="Aptos" w:cs="Aptos"/>
          <w:b/>
          <w:bCs/>
          <w:color w:val="052D46"/>
          <w:sz w:val="28"/>
          <w:szCs w:val="28"/>
        </w:rPr>
        <w:t>What is the time commitment?</w:t>
      </w:r>
    </w:p>
    <w:p w:rsidR="003101D8" w:rsidRDefault="000A194C" w14:paraId="605828C9" w14:textId="77777777">
      <w:pPr>
        <w:spacing w:after="120"/>
      </w:pPr>
      <w:r>
        <w:rPr>
          <w:rFonts w:ascii="Aptos" w:hAnsi="Aptos" w:eastAsia="Aptos" w:cs="Aptos"/>
          <w:color w:val="052D46"/>
          <w:sz w:val="21"/>
          <w:szCs w:val="21"/>
        </w:rPr>
        <w:t>One-day event, free to attend (travel expenses not included).</w:t>
      </w:r>
    </w:p>
    <w:p w:rsidR="003101D8" w:rsidRDefault="000A194C" w14:paraId="312181AF" w14:textId="77777777">
      <w:pPr>
        <w:pStyle w:val="Heading1"/>
        <w:spacing w:before="300" w:after="150"/>
      </w:pPr>
      <w:r>
        <w:rPr>
          <w:rFonts w:ascii="Aptos" w:hAnsi="Aptos" w:eastAsia="Aptos" w:cs="Aptos"/>
          <w:b/>
          <w:bCs/>
          <w:color w:val="052D46"/>
          <w:sz w:val="28"/>
          <w:szCs w:val="28"/>
        </w:rPr>
        <w:t>Benefits and anticipated value to patients and the practice / PCN</w:t>
      </w:r>
    </w:p>
    <w:p w:rsidR="003101D8" w:rsidRDefault="000A194C" w14:paraId="6D78E82B" w14:textId="77777777">
      <w:pPr>
        <w:spacing w:after="120"/>
      </w:pPr>
      <w:r>
        <w:rPr>
          <w:rFonts w:ascii="Aptos" w:hAnsi="Aptos" w:eastAsia="Aptos" w:cs="Aptos"/>
          <w:color w:val="052D46"/>
          <w:sz w:val="21"/>
          <w:szCs w:val="21"/>
        </w:rPr>
        <w:t>The day is structured to equip me to:</w:t>
      </w:r>
    </w:p>
    <w:p w:rsidRPr="00BE0228" w:rsidR="00BE0228" w:rsidP="00BE0228" w:rsidRDefault="00BE0228" w14:paraId="5187A6A9"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b/>
          <w:bCs/>
          <w:color w:val="052D46"/>
          <w:sz w:val="21"/>
          <w:szCs w:val="21"/>
        </w:rPr>
        <w:t>Boost Efficiency</w:t>
      </w:r>
      <w:r w:rsidRPr="00BE0228">
        <w:rPr>
          <w:rFonts w:ascii="Aptos" w:hAnsi="Aptos" w:eastAsia="Aptos" w:cs="Aptos"/>
          <w:color w:val="052D46"/>
          <w:sz w:val="21"/>
          <w:szCs w:val="21"/>
        </w:rPr>
        <w:t>: Learn how AI and personalised medicine are being used right now to reduce clinical burden and streamline care.</w:t>
      </w:r>
    </w:p>
    <w:p w:rsidRPr="00BE0228" w:rsidR="00BE0228" w:rsidP="00BE0228" w:rsidRDefault="00BE0228" w14:paraId="5C118C2A" w14:textId="058DA0A8">
      <w:pPr>
        <w:pStyle w:val="ListParagraph"/>
        <w:numPr>
          <w:ilvl w:val="0"/>
          <w:numId w:val="1"/>
        </w:numPr>
        <w:spacing w:after="60"/>
        <w:rPr>
          <w:rFonts w:ascii="Aptos" w:hAnsi="Aptos" w:eastAsia="Aptos" w:cs="Aptos"/>
          <w:color w:val="052D46"/>
          <w:sz w:val="21"/>
          <w:szCs w:val="21"/>
        </w:rPr>
      </w:pPr>
      <w:r w:rsidRPr="48A9C79F" w:rsidR="0BCF5800">
        <w:rPr>
          <w:rFonts w:ascii="Aptos" w:hAnsi="Aptos" w:eastAsia="Aptos" w:cs="Aptos"/>
          <w:b w:val="1"/>
          <w:bCs w:val="1"/>
          <w:color w:val="052D46"/>
          <w:sz w:val="21"/>
          <w:szCs w:val="21"/>
        </w:rPr>
        <w:t>Inhale Impact &amp; Exhale Burden</w:t>
      </w:r>
      <w:r w:rsidRPr="48A9C79F" w:rsidR="0BCF5800">
        <w:rPr>
          <w:rFonts w:ascii="Aptos" w:hAnsi="Aptos" w:eastAsia="Aptos" w:cs="Aptos"/>
          <w:color w:val="052D46"/>
          <w:sz w:val="21"/>
          <w:szCs w:val="21"/>
        </w:rPr>
        <w:t>: Transforming respiratory care through proactive reviews, guideline-led optimisation, and QOF-aligned action, up to 44 QOF points (£9,921.56)</w:t>
      </w:r>
      <w:r w:rsidRPr="48A9C79F" w:rsidR="098C8652">
        <w:rPr>
          <w:rFonts w:ascii="Aptos" w:hAnsi="Aptos" w:eastAsia="Aptos" w:cs="Aptos"/>
          <w:color w:val="052D46"/>
          <w:sz w:val="21"/>
          <w:szCs w:val="21"/>
        </w:rPr>
        <w:t>.</w:t>
      </w:r>
    </w:p>
    <w:p w:rsidRPr="00BE0228" w:rsidR="00BE0228" w:rsidP="00BE0228" w:rsidRDefault="00BE0228" w14:paraId="283B213E"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b/>
          <w:bCs/>
          <w:color w:val="052D46"/>
          <w:sz w:val="21"/>
          <w:szCs w:val="21"/>
        </w:rPr>
        <w:t>Drive Income &amp; Save Time</w:t>
      </w:r>
      <w:r w:rsidRPr="00BE0228">
        <w:rPr>
          <w:rFonts w:ascii="Aptos" w:hAnsi="Aptos" w:eastAsia="Aptos" w:cs="Aptos"/>
          <w:color w:val="052D46"/>
          <w:sz w:val="21"/>
          <w:szCs w:val="21"/>
        </w:rPr>
        <w:t>: Implement lipid and cardio-renal pathways worth up to 220 QOF points (£49,607.80).</w:t>
      </w:r>
    </w:p>
    <w:p w:rsidRPr="00BE0228" w:rsidR="00BE0228" w:rsidP="00BE0228" w:rsidRDefault="00BE0228" w14:paraId="7F771645" w14:textId="1BDB871C">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b/>
          <w:bCs/>
          <w:color w:val="052D46"/>
          <w:sz w:val="21"/>
          <w:szCs w:val="21"/>
        </w:rPr>
        <w:t>Stay Ahead Clinically</w:t>
      </w:r>
      <w:r w:rsidRPr="00BE0228">
        <w:rPr>
          <w:rFonts w:ascii="Aptos" w:hAnsi="Aptos" w:eastAsia="Aptos" w:cs="Aptos"/>
          <w:color w:val="052D46"/>
          <w:sz w:val="21"/>
          <w:szCs w:val="21"/>
        </w:rPr>
        <w:t xml:space="preserve">: Get the latest on pathways </w:t>
      </w:r>
      <w:r>
        <w:rPr>
          <w:rFonts w:ascii="Aptos" w:hAnsi="Aptos" w:eastAsia="Aptos" w:cs="Aptos"/>
          <w:color w:val="052D46"/>
          <w:sz w:val="21"/>
          <w:szCs w:val="21"/>
        </w:rPr>
        <w:t>led by Pharmacists running services</w:t>
      </w:r>
      <w:r w:rsidRPr="00BE0228">
        <w:rPr>
          <w:rFonts w:ascii="Aptos" w:hAnsi="Aptos" w:eastAsia="Aptos" w:cs="Aptos"/>
          <w:color w:val="052D46"/>
          <w:sz w:val="21"/>
          <w:szCs w:val="21"/>
        </w:rPr>
        <w:t>.</w:t>
      </w:r>
    </w:p>
    <w:p w:rsidRPr="00BE0228" w:rsidR="00BE0228" w:rsidP="00BE0228" w:rsidRDefault="00BE0228" w14:paraId="169E519A"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b/>
          <w:bCs/>
          <w:color w:val="052D46"/>
          <w:sz w:val="21"/>
          <w:szCs w:val="21"/>
        </w:rPr>
        <w:t>Ready-to-Use Insights</w:t>
      </w:r>
      <w:r w:rsidRPr="00BE0228">
        <w:rPr>
          <w:rFonts w:ascii="Aptos" w:hAnsi="Aptos" w:eastAsia="Aptos" w:cs="Aptos"/>
          <w:color w:val="052D46"/>
          <w:sz w:val="21"/>
          <w:szCs w:val="21"/>
        </w:rPr>
        <w:t>: Walk away with tools, ideas, and proven models to apply immediately across your practice or PCN.</w:t>
      </w:r>
    </w:p>
    <w:p w:rsidRPr="00BE0228" w:rsidR="00BE0228" w:rsidP="00BE0228" w:rsidRDefault="00BE0228" w14:paraId="52AD3039"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b/>
          <w:bCs/>
          <w:color w:val="052D46"/>
          <w:sz w:val="21"/>
          <w:szCs w:val="21"/>
        </w:rPr>
        <w:t>Hit Local &amp; National Targets</w:t>
      </w:r>
      <w:r w:rsidRPr="00BE0228">
        <w:rPr>
          <w:rFonts w:ascii="Aptos" w:hAnsi="Aptos" w:eastAsia="Aptos" w:cs="Aptos"/>
          <w:color w:val="052D46"/>
          <w:sz w:val="21"/>
          <w:szCs w:val="21"/>
        </w:rPr>
        <w:t>: Support QOF, IIF, and population health goals – all through pharmacist-led service innovation.</w:t>
      </w:r>
    </w:p>
    <w:p w:rsidRPr="00BE0228" w:rsidR="00BE0228" w:rsidP="00BE0228" w:rsidRDefault="00BE0228" w14:paraId="38B347CB" w14:textId="5922CAC0">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b/>
          <w:bCs/>
          <w:color w:val="052D46"/>
          <w:sz w:val="21"/>
          <w:szCs w:val="21"/>
        </w:rPr>
        <w:t>Progress Professionally</w:t>
      </w:r>
      <w:r w:rsidRPr="00BE0228">
        <w:rPr>
          <w:rFonts w:ascii="Aptos" w:hAnsi="Aptos" w:eastAsia="Aptos" w:cs="Aptos"/>
          <w:color w:val="052D46"/>
          <w:sz w:val="21"/>
          <w:szCs w:val="21"/>
        </w:rPr>
        <w:t>: Strengthen prescribing safety, build your organisation profile, and gather evidence for RPS progression or credentialling.</w:t>
      </w:r>
    </w:p>
    <w:p w:rsidRPr="00BE0228" w:rsidR="00BE0228" w:rsidP="00BE0228" w:rsidRDefault="00BE0228" w14:paraId="50D6165B" w14:textId="77777777">
      <w:pPr>
        <w:spacing w:after="60"/>
        <w:ind w:left="360"/>
        <w:rPr>
          <w:rFonts w:ascii="Aptos" w:hAnsi="Aptos" w:eastAsia="Aptos" w:cs="Aptos"/>
          <w:color w:val="052D46"/>
          <w:sz w:val="21"/>
          <w:szCs w:val="21"/>
        </w:rPr>
      </w:pPr>
      <w:r w:rsidRPr="00BE0228">
        <w:rPr>
          <w:rFonts w:ascii="Aptos" w:hAnsi="Aptos" w:eastAsia="Aptos" w:cs="Aptos"/>
          <w:color w:val="052D46"/>
          <w:sz w:val="21"/>
          <w:szCs w:val="21"/>
        </w:rPr>
        <w:t>How will you share learning, implement change, and outline a quality improvement project, linking to QOF, local incentive targets, enhanced services, and population needs?</w:t>
      </w:r>
    </w:p>
    <w:p w:rsidRPr="00BE0228" w:rsidR="00BE0228" w:rsidP="00BE0228" w:rsidRDefault="00BE0228" w14:paraId="513E2A3A"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color w:val="052D46"/>
          <w:sz w:val="21"/>
          <w:szCs w:val="21"/>
        </w:rPr>
        <w:t>Share Learning: Debrief at PCN/practice meeting, plus short summary for wider MDT.</w:t>
      </w:r>
    </w:p>
    <w:p w:rsidRPr="00BE0228" w:rsidR="00BE0228" w:rsidP="00BE0228" w:rsidRDefault="00BE0228" w14:paraId="58E6DE24"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color w:val="052D46"/>
          <w:sz w:val="21"/>
          <w:szCs w:val="21"/>
        </w:rPr>
        <w:t>Implement Change: Apply proven models to streamline respiratory, lipid, cardio-renal, and migraine care – saving GP time and improving QOF delivery.</w:t>
      </w:r>
    </w:p>
    <w:p w:rsidRPr="00BE0228" w:rsidR="00BE0228" w:rsidP="00BE0228" w:rsidRDefault="00BE0228" w14:paraId="2BE4FA93"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color w:val="052D46"/>
          <w:sz w:val="21"/>
          <w:szCs w:val="21"/>
        </w:rPr>
        <w:t>QI Project Focus: Identify a priority area, apply summit tools, and measure impact on workload, outcomes, and QOF/IIF delivery.</w:t>
      </w:r>
    </w:p>
    <w:p w:rsidRPr="00BE0228" w:rsidR="00BE0228" w:rsidP="00BE0228" w:rsidRDefault="00BE0228" w14:paraId="0A6D97AC" w14:textId="77777777">
      <w:pPr>
        <w:pStyle w:val="ListParagraph"/>
        <w:numPr>
          <w:ilvl w:val="0"/>
          <w:numId w:val="1"/>
        </w:numPr>
        <w:spacing w:after="60"/>
        <w:rPr>
          <w:rFonts w:ascii="Aptos" w:hAnsi="Aptos" w:eastAsia="Aptos" w:cs="Aptos"/>
          <w:color w:val="052D46"/>
          <w:sz w:val="21"/>
          <w:szCs w:val="21"/>
        </w:rPr>
      </w:pPr>
      <w:r w:rsidRPr="00BE0228">
        <w:rPr>
          <w:rFonts w:ascii="Aptos" w:hAnsi="Aptos" w:eastAsia="Aptos" w:cs="Aptos"/>
          <w:color w:val="052D46"/>
          <w:sz w:val="21"/>
          <w:szCs w:val="21"/>
        </w:rPr>
        <w:t>Simplify NHS Priorities: Supports:</w:t>
      </w:r>
    </w:p>
    <w:p w:rsidRPr="00BE0228" w:rsidR="00BE0228" w:rsidP="48A9C79F" w:rsidRDefault="00BE0228" w14:paraId="296052CA" w14:textId="497F2406">
      <w:pPr>
        <w:pStyle w:val="ListParagraph"/>
        <w:numPr>
          <w:ilvl w:val="1"/>
          <w:numId w:val="1"/>
        </w:numPr>
        <w:spacing w:after="60"/>
        <w:rPr>
          <w:rFonts w:ascii="Aptos" w:hAnsi="Aptos" w:eastAsia="Aptos" w:cs="Aptos"/>
          <w:color w:val="052D46"/>
          <w:sz w:val="21"/>
          <w:szCs w:val="21"/>
        </w:rPr>
      </w:pPr>
      <w:r w:rsidRPr="48A9C79F" w:rsidR="0BCF5800">
        <w:rPr>
          <w:rFonts w:ascii="Aptos" w:hAnsi="Aptos" w:eastAsia="Aptos" w:cs="Aptos"/>
          <w:color w:val="052D46"/>
          <w:sz w:val="21"/>
          <w:szCs w:val="21"/>
        </w:rPr>
        <w:t>QOF: Up to 220 points across CVRM and up to 44 points across respiratory</w:t>
      </w:r>
      <w:r w:rsidRPr="48A9C79F" w:rsidR="2DE5969A">
        <w:rPr>
          <w:rFonts w:ascii="Aptos" w:hAnsi="Aptos" w:eastAsia="Aptos" w:cs="Aptos"/>
          <w:color w:val="052D46"/>
          <w:sz w:val="21"/>
          <w:szCs w:val="21"/>
        </w:rPr>
        <w:t>.</w:t>
      </w:r>
    </w:p>
    <w:p w:rsidRPr="00BE0228" w:rsidR="00BE0228" w:rsidP="48A9C79F" w:rsidRDefault="00BE0228" w14:paraId="6F54D6C9" w14:textId="66F6D3C0">
      <w:pPr>
        <w:pStyle w:val="ListParagraph"/>
        <w:numPr>
          <w:ilvl w:val="1"/>
          <w:numId w:val="1"/>
        </w:numPr>
        <w:spacing w:after="60"/>
        <w:rPr>
          <w:rFonts w:ascii="Aptos" w:hAnsi="Aptos" w:eastAsia="Aptos" w:cs="Aptos"/>
          <w:color w:val="052D46"/>
          <w:sz w:val="21"/>
          <w:szCs w:val="21"/>
        </w:rPr>
      </w:pPr>
      <w:r w:rsidRPr="48A9C79F" w:rsidR="0BCF5800">
        <w:rPr>
          <w:rFonts w:ascii="Aptos" w:hAnsi="Aptos" w:eastAsia="Aptos" w:cs="Aptos"/>
          <w:color w:val="052D46"/>
          <w:sz w:val="21"/>
          <w:szCs w:val="21"/>
        </w:rPr>
        <w:t>PCN DES, IIF &amp; Enhanced Services: CVD prevention, SMRs, statin use</w:t>
      </w:r>
      <w:r w:rsidRPr="48A9C79F" w:rsidR="454036BB">
        <w:rPr>
          <w:rFonts w:ascii="Aptos" w:hAnsi="Aptos" w:eastAsia="Aptos" w:cs="Aptos"/>
          <w:color w:val="052D46"/>
          <w:sz w:val="21"/>
          <w:szCs w:val="21"/>
        </w:rPr>
        <w:t>.</w:t>
      </w:r>
    </w:p>
    <w:p w:rsidRPr="00BE0228" w:rsidR="00BE0228" w:rsidP="48A9C79F" w:rsidRDefault="00BE0228" w14:paraId="24C0E132" w14:textId="349DEBDA">
      <w:pPr>
        <w:pStyle w:val="ListParagraph"/>
        <w:numPr>
          <w:ilvl w:val="1"/>
          <w:numId w:val="1"/>
        </w:numPr>
        <w:spacing w:after="60"/>
        <w:rPr>
          <w:rFonts w:ascii="Aptos" w:hAnsi="Aptos" w:eastAsia="Aptos" w:cs="Aptos"/>
          <w:b w:val="1"/>
          <w:bCs w:val="1"/>
          <w:color w:val="052D46"/>
          <w:sz w:val="21"/>
          <w:szCs w:val="21"/>
        </w:rPr>
      </w:pPr>
      <w:r w:rsidRPr="48A9C79F" w:rsidR="0BCF5800">
        <w:rPr>
          <w:rFonts w:ascii="Aptos" w:hAnsi="Aptos" w:eastAsia="Aptos" w:cs="Aptos"/>
          <w:color w:val="052D46"/>
          <w:sz w:val="21"/>
          <w:szCs w:val="21"/>
        </w:rPr>
        <w:t>Population Health: Tackles Core20PLUS5 inequalities</w:t>
      </w:r>
      <w:r w:rsidRPr="48A9C79F" w:rsidR="454036BB">
        <w:rPr>
          <w:rFonts w:ascii="Aptos" w:hAnsi="Aptos" w:eastAsia="Aptos" w:cs="Aptos"/>
          <w:color w:val="052D46"/>
          <w:sz w:val="21"/>
          <w:szCs w:val="21"/>
        </w:rPr>
        <w:t>.</w:t>
      </w:r>
    </w:p>
    <w:p w:rsidRPr="00BE0228" w:rsidR="00BE0228" w:rsidP="00BE0228" w:rsidRDefault="00BE0228" w14:paraId="168BFE87" w14:textId="77777777">
      <w:pPr>
        <w:spacing w:after="60"/>
        <w:rPr>
          <w:rFonts w:ascii="Aptos" w:hAnsi="Aptos" w:eastAsia="Aptos" w:cs="Aptos"/>
          <w:b/>
          <w:bCs/>
          <w:color w:val="052D46"/>
          <w:sz w:val="21"/>
          <w:szCs w:val="21"/>
        </w:rPr>
      </w:pPr>
      <w:r w:rsidRPr="00BE0228">
        <w:rPr>
          <w:rFonts w:ascii="Aptos" w:hAnsi="Aptos" w:eastAsia="Aptos" w:cs="Aptos"/>
          <w:b/>
          <w:bCs/>
          <w:color w:val="052D46"/>
          <w:sz w:val="21"/>
          <w:szCs w:val="21"/>
        </w:rPr>
        <w:t>Immediate ROI: Walk away with tools to act now – reduce burden, release GP time, and deliver clinical &amp; financial impact.</w:t>
      </w:r>
    </w:p>
    <w:p w:rsidR="003101D8" w:rsidRDefault="000A194C" w14:paraId="2E28A60E" w14:textId="77777777">
      <w:pPr>
        <w:pStyle w:val="Heading1"/>
        <w:spacing w:before="300" w:after="150"/>
      </w:pPr>
      <w:r>
        <w:rPr>
          <w:rFonts w:ascii="Aptos" w:hAnsi="Aptos" w:eastAsia="Aptos" w:cs="Aptos"/>
          <w:b/>
          <w:bCs/>
          <w:color w:val="052D46"/>
          <w:sz w:val="28"/>
          <w:szCs w:val="28"/>
        </w:rPr>
        <w:t>How will you share learning, implement change, and outline a quality improvement project?</w:t>
      </w:r>
    </w:p>
    <w:p w:rsidR="003101D8" w:rsidRDefault="000A194C" w14:paraId="687731B6" w14:textId="77777777">
      <w:pPr>
        <w:pStyle w:val="ListParagraph"/>
        <w:numPr>
          <w:ilvl w:val="0"/>
          <w:numId w:val="2"/>
        </w:numPr>
        <w:spacing w:after="80"/>
      </w:pPr>
      <w:r>
        <w:rPr>
          <w:rFonts w:ascii="Aptos" w:hAnsi="Aptos" w:eastAsia="Aptos" w:cs="Aptos"/>
          <w:b/>
          <w:bCs/>
          <w:color w:val="052D46"/>
          <w:sz w:val="21"/>
          <w:szCs w:val="21"/>
        </w:rPr>
        <w:t xml:space="preserve">Share Learning: </w:t>
      </w:r>
      <w:r>
        <w:rPr>
          <w:rFonts w:ascii="Aptos" w:hAnsi="Aptos" w:eastAsia="Aptos" w:cs="Aptos"/>
          <w:color w:val="052D46"/>
          <w:sz w:val="21"/>
          <w:szCs w:val="21"/>
        </w:rPr>
        <w:t>Debrief at PCN/practice meeting, plus a short summary for the wider MDT.</w:t>
      </w:r>
    </w:p>
    <w:p w:rsidR="003101D8" w:rsidRDefault="000A194C" w14:paraId="3FBB1006" w14:textId="77777777">
      <w:pPr>
        <w:pStyle w:val="ListParagraph"/>
        <w:numPr>
          <w:ilvl w:val="0"/>
          <w:numId w:val="2"/>
        </w:numPr>
        <w:spacing w:after="80"/>
      </w:pPr>
      <w:r>
        <w:rPr>
          <w:rFonts w:ascii="Aptos" w:hAnsi="Aptos" w:eastAsia="Aptos" w:cs="Aptos"/>
          <w:b/>
          <w:bCs/>
          <w:color w:val="052D46"/>
          <w:sz w:val="21"/>
          <w:szCs w:val="21"/>
        </w:rPr>
        <w:t xml:space="preserve">Implement Change: </w:t>
      </w:r>
      <w:r>
        <w:rPr>
          <w:rFonts w:ascii="Aptos" w:hAnsi="Aptos" w:eastAsia="Aptos" w:cs="Aptos"/>
          <w:color w:val="052D46"/>
          <w:sz w:val="21"/>
          <w:szCs w:val="21"/>
        </w:rPr>
        <w:t>Apply proven models to streamline respiratory, lipid, cardio-renal, CKD and bone health care — saving GP time and improving QOF delivery.</w:t>
      </w:r>
    </w:p>
    <w:p w:rsidR="003101D8" w:rsidRDefault="000A194C" w14:paraId="06628828" w14:textId="77777777">
      <w:pPr>
        <w:pStyle w:val="ListParagraph"/>
        <w:numPr>
          <w:ilvl w:val="0"/>
          <w:numId w:val="2"/>
        </w:numPr>
        <w:spacing w:after="80"/>
      </w:pPr>
      <w:r>
        <w:rPr>
          <w:rFonts w:ascii="Aptos" w:hAnsi="Aptos" w:eastAsia="Aptos" w:cs="Aptos"/>
          <w:b/>
          <w:bCs/>
          <w:color w:val="052D46"/>
          <w:sz w:val="21"/>
          <w:szCs w:val="21"/>
        </w:rPr>
        <w:t xml:space="preserve">QI Project Focus: </w:t>
      </w:r>
      <w:r>
        <w:rPr>
          <w:rFonts w:ascii="Aptos" w:hAnsi="Aptos" w:eastAsia="Aptos" w:cs="Aptos"/>
          <w:color w:val="052D46"/>
          <w:sz w:val="21"/>
          <w:szCs w:val="21"/>
        </w:rPr>
        <w:t>Identify a priority area, apply summit tools, and measure impact on workload, outcomes, and QOF/IIF delivery.</w:t>
      </w:r>
    </w:p>
    <w:p w:rsidR="003101D8" w:rsidRDefault="000A194C" w14:paraId="0D0E0F12" w14:textId="77777777">
      <w:pPr>
        <w:pStyle w:val="ListParagraph"/>
        <w:numPr>
          <w:ilvl w:val="0"/>
          <w:numId w:val="2"/>
        </w:numPr>
        <w:spacing w:after="80"/>
      </w:pPr>
      <w:r>
        <w:rPr>
          <w:rFonts w:ascii="Aptos" w:hAnsi="Aptos" w:eastAsia="Aptos" w:cs="Aptos"/>
          <w:b/>
          <w:bCs/>
          <w:color w:val="052D46"/>
          <w:sz w:val="21"/>
          <w:szCs w:val="21"/>
        </w:rPr>
        <w:t xml:space="preserve">Supports NHS Priorities: </w:t>
      </w:r>
      <w:r>
        <w:rPr>
          <w:rFonts w:ascii="Aptos" w:hAnsi="Aptos" w:eastAsia="Aptos" w:cs="Aptos"/>
          <w:color w:val="052D46"/>
          <w:sz w:val="21"/>
          <w:szCs w:val="21"/>
        </w:rPr>
        <w:t>QOF (CVRM and respiratory domains), PCN DES/IIF and Enhanced Services (CVD prevention, SMRs, statin use), and population health via Core20PLUS5.</w:t>
      </w:r>
    </w:p>
    <w:p w:rsidR="003101D8" w:rsidRDefault="000A194C" w14:paraId="6F64E347" w14:textId="77777777">
      <w:pPr>
        <w:spacing w:after="120"/>
      </w:pPr>
      <w:r>
        <w:rPr>
          <w:rFonts w:ascii="Aptos" w:hAnsi="Aptos" w:eastAsia="Aptos" w:cs="Aptos"/>
          <w:color w:val="052D46"/>
          <w:sz w:val="21"/>
          <w:szCs w:val="21"/>
        </w:rPr>
        <w:t>Immediate ROI: I will walk away with tools to act now — reducing burden, releasing GP time, and delivering clinical and financial impact within my practice/PCN.</w:t>
      </w:r>
    </w:p>
    <w:p w:rsidR="003101D8" w:rsidRDefault="003101D8" w14:paraId="0C700E69" w14:textId="77777777">
      <w:pPr>
        <w:pBdr>
          <w:bottom w:val="single" w:color="4E9177" w:sz="6" w:space="1"/>
        </w:pBdr>
        <w:spacing w:before="100" w:after="200"/>
      </w:pPr>
    </w:p>
    <w:p w:rsidR="003101D8" w:rsidRDefault="000A194C" w14:paraId="41E5901C" w14:textId="77777777">
      <w:pPr>
        <w:pStyle w:val="Heading1"/>
        <w:spacing w:before="300" w:after="150"/>
      </w:pPr>
      <w:r>
        <w:rPr>
          <w:rFonts w:ascii="Aptos" w:hAnsi="Aptos" w:eastAsia="Aptos" w:cs="Aptos"/>
          <w:b/>
          <w:bCs/>
          <w:color w:val="052D46"/>
          <w:sz w:val="28"/>
          <w:szCs w:val="28"/>
        </w:rPr>
        <w:t>Sign-off</w:t>
      </w:r>
    </w:p>
    <w:tbl>
      <w:tblPr>
        <w:tblW w:w="5000" w:type="pct"/>
        <w:tblBorders>
          <w:top w:val="none" w:color="FFFFFF" w:sz="0" w:space="0"/>
          <w:left w:val="none" w:color="FFFFFF" w:sz="0" w:space="0"/>
          <w:bottom w:val="single" w:color="CCCCCC" w:sz="4"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4513"/>
        <w:gridCol w:w="4513"/>
      </w:tblGrid>
      <w:tr w:rsidR="003101D8" w14:paraId="53D5EC18" w14:textId="77777777">
        <w:tc>
          <w:tcPr>
            <w:tcW w:w="2500" w:type="pct"/>
            <w:tcMar>
              <w:top w:w="100" w:type="dxa"/>
              <w:left w:w="0" w:type="dxa"/>
              <w:bottom w:w="200" w:type="dxa"/>
              <w:right w:w="200" w:type="dxa"/>
            </w:tcMar>
          </w:tcPr>
          <w:p w:rsidR="003101D8" w:rsidRDefault="000A194C" w14:paraId="1ED66455" w14:textId="77777777">
            <w:r>
              <w:rPr>
                <w:rFonts w:ascii="Aptos" w:hAnsi="Aptos" w:eastAsia="Aptos" w:cs="Aptos"/>
                <w:color w:val="052D46"/>
                <w:sz w:val="21"/>
                <w:szCs w:val="21"/>
              </w:rPr>
              <w:t xml:space="preserve">Healthcare professional name: </w:t>
            </w:r>
          </w:p>
        </w:tc>
        <w:tc>
          <w:tcPr>
            <w:tcW w:w="2500" w:type="pct"/>
            <w:tcMar>
              <w:top w:w="100" w:type="dxa"/>
              <w:left w:w="200" w:type="dxa"/>
              <w:bottom w:w="200" w:type="dxa"/>
              <w:right w:w="0" w:type="dxa"/>
            </w:tcMar>
          </w:tcPr>
          <w:p w:rsidR="003101D8" w:rsidRDefault="000A194C" w14:paraId="21D3C269" w14:textId="77777777">
            <w:r>
              <w:rPr>
                <w:rFonts w:ascii="Aptos" w:hAnsi="Aptos" w:eastAsia="Aptos" w:cs="Aptos"/>
                <w:color w:val="052D46"/>
                <w:sz w:val="21"/>
                <w:szCs w:val="21"/>
              </w:rPr>
              <w:t xml:space="preserve">Healthcare professional signature: </w:t>
            </w:r>
          </w:p>
        </w:tc>
      </w:tr>
    </w:tbl>
    <w:p w:rsidR="003101D8" w:rsidRDefault="003101D8" w14:paraId="50CF262A" w14:textId="77777777">
      <w:pPr>
        <w:spacing w:after="150"/>
      </w:pPr>
    </w:p>
    <w:tbl>
      <w:tblPr>
        <w:tblW w:w="5000" w:type="pct"/>
        <w:tblBorders>
          <w:top w:val="none" w:color="FFFFFF" w:sz="0" w:space="0"/>
          <w:left w:val="none" w:color="FFFFFF" w:sz="0" w:space="0"/>
          <w:bottom w:val="single" w:color="CCCCCC" w:sz="4"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4513"/>
        <w:gridCol w:w="4513"/>
      </w:tblGrid>
      <w:tr w:rsidR="003101D8" w14:paraId="6912C5AE" w14:textId="77777777">
        <w:tc>
          <w:tcPr>
            <w:tcW w:w="2500" w:type="pct"/>
            <w:tcMar>
              <w:top w:w="100" w:type="dxa"/>
              <w:left w:w="0" w:type="dxa"/>
              <w:bottom w:w="200" w:type="dxa"/>
              <w:right w:w="200" w:type="dxa"/>
            </w:tcMar>
          </w:tcPr>
          <w:p w:rsidR="003101D8" w:rsidRDefault="000A194C" w14:paraId="35F8041B" w14:textId="77777777">
            <w:r>
              <w:rPr>
                <w:rFonts w:ascii="Aptos" w:hAnsi="Aptos" w:eastAsia="Aptos" w:cs="Aptos"/>
                <w:color w:val="052D46"/>
                <w:sz w:val="21"/>
                <w:szCs w:val="21"/>
              </w:rPr>
              <w:t xml:space="preserve">Date of submission: </w:t>
            </w:r>
          </w:p>
        </w:tc>
        <w:tc>
          <w:tcPr>
            <w:tcW w:w="2500" w:type="pct"/>
            <w:tcMar>
              <w:top w:w="100" w:type="dxa"/>
              <w:left w:w="200" w:type="dxa"/>
              <w:bottom w:w="200" w:type="dxa"/>
              <w:right w:w="0" w:type="dxa"/>
            </w:tcMar>
          </w:tcPr>
          <w:p w:rsidR="003101D8" w:rsidRDefault="003101D8" w14:paraId="06C25A67" w14:textId="77777777"/>
        </w:tc>
      </w:tr>
    </w:tbl>
    <w:p w:rsidR="003101D8" w:rsidRDefault="003101D8" w14:paraId="1036A11F" w14:textId="77777777">
      <w:pPr>
        <w:spacing w:after="250"/>
      </w:pPr>
    </w:p>
    <w:tbl>
      <w:tblPr>
        <w:tblW w:w="5000" w:type="pct"/>
        <w:tblBorders>
          <w:top w:val="none" w:color="FFFFFF" w:sz="0" w:space="0"/>
          <w:left w:val="none" w:color="FFFFFF" w:sz="0" w:space="0"/>
          <w:bottom w:val="single" w:color="CCCCCC" w:sz="4"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4513"/>
        <w:gridCol w:w="4513"/>
      </w:tblGrid>
      <w:tr w:rsidR="003101D8" w14:paraId="41F178C0" w14:textId="77777777">
        <w:tc>
          <w:tcPr>
            <w:tcW w:w="2500" w:type="pct"/>
            <w:tcMar>
              <w:top w:w="100" w:type="dxa"/>
              <w:left w:w="0" w:type="dxa"/>
              <w:bottom w:w="200" w:type="dxa"/>
              <w:right w:w="200" w:type="dxa"/>
            </w:tcMar>
          </w:tcPr>
          <w:p w:rsidR="003101D8" w:rsidRDefault="000A194C" w14:paraId="1ACFCDDF" w14:textId="77777777">
            <w:r>
              <w:rPr>
                <w:rFonts w:ascii="Aptos" w:hAnsi="Aptos" w:eastAsia="Aptos" w:cs="Aptos"/>
                <w:color w:val="052D46"/>
                <w:sz w:val="21"/>
                <w:szCs w:val="21"/>
              </w:rPr>
              <w:t xml:space="preserve">Line manager's name: </w:t>
            </w:r>
          </w:p>
        </w:tc>
        <w:tc>
          <w:tcPr>
            <w:tcW w:w="2500" w:type="pct"/>
            <w:tcMar>
              <w:top w:w="100" w:type="dxa"/>
              <w:left w:w="200" w:type="dxa"/>
              <w:bottom w:w="200" w:type="dxa"/>
              <w:right w:w="0" w:type="dxa"/>
            </w:tcMar>
          </w:tcPr>
          <w:p w:rsidR="003101D8" w:rsidRDefault="000A194C" w14:paraId="3119B2EA" w14:textId="77777777">
            <w:r>
              <w:rPr>
                <w:rFonts w:ascii="Aptos" w:hAnsi="Aptos" w:eastAsia="Aptos" w:cs="Aptos"/>
                <w:color w:val="052D46"/>
                <w:sz w:val="21"/>
                <w:szCs w:val="21"/>
              </w:rPr>
              <w:t xml:space="preserve">Line manager's signature: </w:t>
            </w:r>
          </w:p>
        </w:tc>
      </w:tr>
    </w:tbl>
    <w:p w:rsidR="003101D8" w:rsidRDefault="003101D8" w14:paraId="67B22B00" w14:textId="77777777">
      <w:pPr>
        <w:spacing w:after="150"/>
      </w:pPr>
    </w:p>
    <w:tbl>
      <w:tblPr>
        <w:tblW w:w="5000" w:type="pct"/>
        <w:tblBorders>
          <w:top w:val="none" w:color="FFFFFF" w:sz="0" w:space="0"/>
          <w:left w:val="none" w:color="FFFFFF" w:sz="0" w:space="0"/>
          <w:bottom w:val="single" w:color="CCCCCC" w:sz="4" w:space="0"/>
          <w:right w:val="none" w:color="FFFFFF" w:sz="0" w:space="0"/>
          <w:insideH w:val="none" w:color="FFFFFF" w:sz="0" w:space="0"/>
          <w:insideV w:val="none" w:color="FFFFFF" w:sz="0" w:space="0"/>
        </w:tblBorders>
        <w:tblCellMar>
          <w:left w:w="10" w:type="dxa"/>
          <w:right w:w="10" w:type="dxa"/>
        </w:tblCellMar>
        <w:tblLook w:val="04A0" w:firstRow="1" w:lastRow="0" w:firstColumn="1" w:lastColumn="0" w:noHBand="0" w:noVBand="1"/>
      </w:tblPr>
      <w:tblGrid>
        <w:gridCol w:w="4513"/>
        <w:gridCol w:w="4513"/>
      </w:tblGrid>
      <w:tr w:rsidR="003101D8" w14:paraId="5376A77C" w14:textId="77777777">
        <w:tc>
          <w:tcPr>
            <w:tcW w:w="2500" w:type="pct"/>
            <w:tcMar>
              <w:top w:w="100" w:type="dxa"/>
              <w:left w:w="0" w:type="dxa"/>
              <w:bottom w:w="200" w:type="dxa"/>
              <w:right w:w="200" w:type="dxa"/>
            </w:tcMar>
          </w:tcPr>
          <w:p w:rsidR="003101D8" w:rsidRDefault="000A194C" w14:paraId="39288341" w14:textId="77777777">
            <w:r>
              <w:rPr>
                <w:rFonts w:ascii="Aptos" w:hAnsi="Aptos" w:eastAsia="Aptos" w:cs="Aptos"/>
                <w:color w:val="052D46"/>
                <w:sz w:val="21"/>
                <w:szCs w:val="21"/>
              </w:rPr>
              <w:t xml:space="preserve">Date of approval: </w:t>
            </w:r>
          </w:p>
        </w:tc>
        <w:tc>
          <w:tcPr>
            <w:tcW w:w="2500" w:type="pct"/>
            <w:tcMar>
              <w:top w:w="100" w:type="dxa"/>
              <w:left w:w="200" w:type="dxa"/>
              <w:bottom w:w="200" w:type="dxa"/>
              <w:right w:w="0" w:type="dxa"/>
            </w:tcMar>
          </w:tcPr>
          <w:p w:rsidR="003101D8" w:rsidRDefault="003101D8" w14:paraId="62402FCD" w14:textId="77777777"/>
        </w:tc>
      </w:tr>
    </w:tbl>
    <w:p w:rsidR="000A194C" w:rsidRDefault="000A194C" w14:paraId="0A041BFD" w14:textId="77777777"/>
    <w:sectPr w:rsidR="000A194C">
      <w:pgSz w:w="11906" w:h="16838" w:orient="portrait"/>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5210A"/>
    <w:multiLevelType w:val="hybridMultilevel"/>
    <w:tmpl w:val="5AB070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4B1C2E9F"/>
    <w:multiLevelType w:val="hybridMultilevel"/>
    <w:tmpl w:val="6AB897EE"/>
    <w:lvl w:ilvl="0" w:tplc="2A066B54">
      <w:start w:val="1"/>
      <w:numFmt w:val="bullet"/>
      <w:lvlText w:val="●"/>
      <w:lvlJc w:val="left"/>
      <w:pPr>
        <w:ind w:left="720" w:hanging="360"/>
      </w:pPr>
    </w:lvl>
    <w:lvl w:ilvl="1" w:tplc="FFBC5698">
      <w:start w:val="1"/>
      <w:numFmt w:val="bullet"/>
      <w:lvlText w:val="○"/>
      <w:lvlJc w:val="left"/>
      <w:pPr>
        <w:ind w:left="1440" w:hanging="360"/>
      </w:pPr>
    </w:lvl>
    <w:lvl w:ilvl="2" w:tplc="57AE40D0">
      <w:start w:val="1"/>
      <w:numFmt w:val="bullet"/>
      <w:lvlText w:val="■"/>
      <w:lvlJc w:val="left"/>
      <w:pPr>
        <w:ind w:left="2160" w:hanging="360"/>
      </w:pPr>
    </w:lvl>
    <w:lvl w:ilvl="3" w:tplc="FB56B682">
      <w:start w:val="1"/>
      <w:numFmt w:val="bullet"/>
      <w:lvlText w:val="●"/>
      <w:lvlJc w:val="left"/>
      <w:pPr>
        <w:ind w:left="2880" w:hanging="360"/>
      </w:pPr>
    </w:lvl>
    <w:lvl w:ilvl="4" w:tplc="152C7B1A">
      <w:start w:val="1"/>
      <w:numFmt w:val="bullet"/>
      <w:lvlText w:val="○"/>
      <w:lvlJc w:val="left"/>
      <w:pPr>
        <w:ind w:left="3600" w:hanging="360"/>
      </w:pPr>
    </w:lvl>
    <w:lvl w:ilvl="5" w:tplc="395A9AC4">
      <w:start w:val="1"/>
      <w:numFmt w:val="bullet"/>
      <w:lvlText w:val="■"/>
      <w:lvlJc w:val="left"/>
      <w:pPr>
        <w:ind w:left="4320" w:hanging="360"/>
      </w:pPr>
    </w:lvl>
    <w:lvl w:ilvl="6" w:tplc="CE3C7CE0">
      <w:start w:val="1"/>
      <w:numFmt w:val="bullet"/>
      <w:lvlText w:val="●"/>
      <w:lvlJc w:val="left"/>
      <w:pPr>
        <w:ind w:left="5040" w:hanging="360"/>
      </w:pPr>
    </w:lvl>
    <w:lvl w:ilvl="7" w:tplc="0A524AA0">
      <w:start w:val="1"/>
      <w:numFmt w:val="bullet"/>
      <w:lvlText w:val="●"/>
      <w:lvlJc w:val="left"/>
      <w:pPr>
        <w:ind w:left="5760" w:hanging="360"/>
      </w:pPr>
    </w:lvl>
    <w:lvl w:ilvl="8" w:tplc="5BD2098C">
      <w:start w:val="1"/>
      <w:numFmt w:val="bullet"/>
      <w:lvlText w:val="●"/>
      <w:lvlJc w:val="left"/>
      <w:pPr>
        <w:ind w:left="6480" w:hanging="360"/>
      </w:pPr>
    </w:lvl>
  </w:abstractNum>
  <w:num w:numId="1" w16cid:durableId="1497844815">
    <w:abstractNumId w:val="0"/>
  </w:num>
  <w:num w:numId="2" w16cid:durableId="24781459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1D8"/>
    <w:rsid w:val="000A194C"/>
    <w:rsid w:val="00193D57"/>
    <w:rsid w:val="002B1A79"/>
    <w:rsid w:val="003101D8"/>
    <w:rsid w:val="00634ACB"/>
    <w:rsid w:val="008F5283"/>
    <w:rsid w:val="009520D9"/>
    <w:rsid w:val="00BE0228"/>
    <w:rsid w:val="098C8652"/>
    <w:rsid w:val="0BCF5800"/>
    <w:rsid w:val="2DE5969A"/>
    <w:rsid w:val="454036BB"/>
    <w:rsid w:val="48A9C7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38F545B"/>
  <w15:docId w15:val="{E0CB2A2A-9E4D-4F57-891B-07BCA9175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uiPriority w:val="10"/>
    <w:qFormat/>
    <w:rPr>
      <w:sz w:val="56"/>
      <w:szCs w:val="56"/>
    </w:rPr>
  </w:style>
  <w:style w:type="paragraph" w:styleId="Strong1" w:customStyle="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styleId="FootnoteTextChar" w:customStyle="1">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styleId="EndnoteTextChar" w:customStyle="1">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3423CC810661F4D9B19C1C199195EBF" ma:contentTypeVersion="13" ma:contentTypeDescription="Create a new document." ma:contentTypeScope="" ma:versionID="37d7c0d82a3c5d1216ac351170c5d73a">
  <xsd:schema xmlns:xsd="http://www.w3.org/2001/XMLSchema" xmlns:xs="http://www.w3.org/2001/XMLSchema" xmlns:p="http://schemas.microsoft.com/office/2006/metadata/properties" xmlns:ns2="893e773e-120a-428e-961a-9b73b9b93f75" xmlns:ns3="66c4b894-9dff-4742-a748-19c3687d392a" targetNamespace="http://schemas.microsoft.com/office/2006/metadata/properties" ma:root="true" ma:fieldsID="23584682bf10c0e1a4676bb9a39ded84" ns2:_="" ns3:_="">
    <xsd:import namespace="893e773e-120a-428e-961a-9b73b9b93f75"/>
    <xsd:import namespace="66c4b894-9dff-4742-a748-19c3687d3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e773e-120a-428e-961a-9b73b9b93f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47c7de6-688e-4fd2-9d18-7811ebe531e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c4b894-9dff-4742-a748-19c3687d39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e919f95-a35e-472f-8bd1-c6919fc6c87d}" ma:internalName="TaxCatchAll" ma:showField="CatchAllData" ma:web="66c4b894-9dff-4742-a748-19c3687d3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6c4b894-9dff-4742-a748-19c3687d392a" xsi:nil="true"/>
    <lcf76f155ced4ddcb4097134ff3c332f xmlns="893e773e-120a-428e-961a-9b73b9b93f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4BD3D68-17E1-4F9B-82BA-E258865825CD}">
  <ds:schemaRefs>
    <ds:schemaRef ds:uri="http://schemas.microsoft.com/sharepoint/v3/contenttype/forms"/>
  </ds:schemaRefs>
</ds:datastoreItem>
</file>

<file path=customXml/itemProps2.xml><?xml version="1.0" encoding="utf-8"?>
<ds:datastoreItem xmlns:ds="http://schemas.openxmlformats.org/officeDocument/2006/customXml" ds:itemID="{0333EF3E-AC68-4C2A-86CA-CA08EA90FA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e773e-120a-428e-961a-9b73b9b93f75"/>
    <ds:schemaRef ds:uri="66c4b894-9dff-4742-a748-19c3687d39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2175DD-A516-4DC2-A386-8EF744309D70}">
  <ds:schemaRefs>
    <ds:schemaRef ds:uri="http://schemas.microsoft.com/office/2006/metadata/properties"/>
    <ds:schemaRef ds:uri="http://schemas.microsoft.com/office/infopath/2007/PartnerControls"/>
    <ds:schemaRef ds:uri="66c4b894-9dff-4742-a748-19c3687d392a"/>
    <ds:schemaRef ds:uri="893e773e-120a-428e-961a-9b73b9b93f7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Un-named</dc:creator>
  <keywords/>
  <lastModifiedBy>Chloe Tester</lastModifiedBy>
  <revision>2</revision>
  <dcterms:created xsi:type="dcterms:W3CDTF">2026-07-16T13:26:00.0000000Z</dcterms:created>
  <dcterms:modified xsi:type="dcterms:W3CDTF">2026-07-23T10:52:01.2745740Z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0x01010033423CC810661F4D9B19C1C199195EBF</vt:lpwstr>
  </property>
  <property fmtid="{D5CDD505-2E9C-101B-9397-08002B2CF9AE}" pid="3" name="MediaServiceImageTags">
    <vt:lpwstr/>
  </property>
</Properties>
</file>